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FB167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РАСПИСАНИЕ ЗАНЯТИЙ                      </w:t>
      </w:r>
      <w:r>
        <w:rPr>
          <w:rFonts w:ascii="Times New Roman" w:hAnsi="Times New Roman"/>
          <w:sz w:val="28"/>
        </w:rPr>
        <w:t>_______________Тимербаев Р.Н.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2023 - 24 учебный год </w:t>
      </w:r>
    </w:p>
    <w:p>
      <w:pPr>
        <w:spacing w:after="16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             3 курс   заочное отделение / дистанционное отделение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 w:val="1"/>
          <w:sz w:val="28"/>
        </w:rPr>
        <w:t xml:space="preserve"> </w:t>
      </w:r>
    </w:p>
    <w:tbl>
      <w:tblPr>
        <w:tblStyle w:val="T2"/>
        <w:tblpPr w:leftFromText="180" w:rightFromText="180" w:tblpX="1" w:tblpY="1084" w:horzAnchor="margin" w:vertAnchor="text"/>
        <w:tblW w:w="16350" w:type="dxa"/>
        <w:tblInd w:w="-237" w:type="dxa"/>
        <w:tblLayout w:type="fixed"/>
        <w:tblLook w:val="04A0"/>
      </w:tblPr>
      <w:tblGrid/>
      <w:tr>
        <w:trPr>
          <w:gridBefore w:val="0"/>
          <w:gridAfter w:val="0"/>
        </w:trPr>
        <w:tc>
          <w:tcPr>
            <w:tcW w:w="1020" w:type="dxa"/>
          </w:tcPr>
          <w:p>
            <w:pPr>
              <w:ind w:left="-39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16.04.24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17.04.24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23.04.24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24.04.24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30.04.24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01.05.24</w:t>
            </w:r>
          </w:p>
        </w:tc>
      </w:tr>
      <w:tr>
        <w:trPr>
          <w:gridBefore w:val="0"/>
          <w:gridAfter w:val="0"/>
        </w:trPr>
        <w:tc>
          <w:tcPr>
            <w:tcW w:w="1020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17-50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19-20</w:t>
            </w:r>
          </w:p>
        </w:tc>
        <w:tc>
          <w:tcPr>
            <w:tcW w:w="138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Алиев Али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Корана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(Тилява)</w:t>
            </w:r>
          </w:p>
        </w:tc>
        <w:tc>
          <w:tcPr>
            <w:tcW w:w="12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 Рамиль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Хадисо-ведение</w:t>
            </w:r>
          </w:p>
        </w:tc>
        <w:tc>
          <w:tcPr>
            <w:tcW w:w="153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Дамиров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Рамиль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Толкование Корана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(Тафсир)</w:t>
            </w:r>
          </w:p>
        </w:tc>
        <w:tc>
          <w:tcPr>
            <w:tcW w:w="156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Мубаракшина Адиля Ханум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Фикх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(Муамалят)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Алиев Али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Корана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(Тилява)</w:t>
            </w:r>
          </w:p>
        </w:tc>
        <w:tc>
          <w:tcPr>
            <w:tcW w:w="165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Дамиров Рамиль 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Хадисо-ведение</w:t>
            </w:r>
          </w:p>
        </w:tc>
      </w:tr>
      <w:tr>
        <w:trPr>
          <w:gridBefore w:val="0"/>
          <w:gridAfter w:val="0"/>
        </w:trPr>
        <w:tc>
          <w:tcPr>
            <w:tcW w:w="1020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19-30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21-00</w:t>
            </w:r>
          </w:p>
        </w:tc>
        <w:tc>
          <w:tcPr>
            <w:tcW w:w="138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Алиев Али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Корана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(Хифз)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Абдуллин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Ахмет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</w:tc>
        <w:tc>
          <w:tcPr>
            <w:tcW w:w="153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</w:tc>
        <w:tc>
          <w:tcPr>
            <w:tcW w:w="156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Аляутдинов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Ильдар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Основы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проповеди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(Он-лайн)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Алиев Али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Чтение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Корана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(Хифз)</w:t>
            </w:r>
          </w:p>
        </w:tc>
        <w:tc>
          <w:tcPr>
            <w:tcW w:w="165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Абдуллин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Ахмет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хазрат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</w:tc>
      </w:tr>
    </w:tbl>
    <w:p>
      <w:pPr>
        <w:tabs>
          <w:tab w:val="left" w:pos="2250" w:leader="none"/>
        </w:tabs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17.04.24-01.0</w:t>
      </w:r>
      <w:r>
        <w:rPr>
          <w:rFonts w:ascii="Times New Roman" w:hAnsi="Times New Roman"/>
          <w:b w:val="1"/>
          <w:i w:val="1"/>
          <w:sz w:val="28"/>
        </w:rPr>
        <w:t>5.</w:t>
      </w:r>
      <w:r>
        <w:rPr>
          <w:rFonts w:ascii="Times New Roman" w:hAnsi="Times New Roman"/>
          <w:b w:val="1"/>
          <w:i w:val="1"/>
          <w:sz w:val="28"/>
        </w:rPr>
        <w:t xml:space="preserve">24 История ислама в России 2 семестр - преподаватель </w:t>
      </w:r>
      <w:r>
        <w:rPr>
          <w:rFonts w:ascii="Times New Roman" w:hAnsi="Times New Roman"/>
          <w:b w:val="1"/>
          <w:sz w:val="28"/>
        </w:rPr>
        <w:t>Тимербаев Р.Н.</w:t>
      </w: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Зав. Учебной части _________________________</w:t>
      </w:r>
    </w:p>
    <w:sectPr>
      <w:type w:val="nextPage"/>
      <w:pgSz w:w="16838" w:h="11906" w:code="9" w:orient="landscape"/>
      <w:pgMar w:left="567" w:right="536" w:top="709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